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after="240" w:line="560" w:lineRule="exact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党员民主测评表</w:t>
      </w:r>
    </w:p>
    <w:p>
      <w:pPr>
        <w:rPr>
          <w:rFonts w:hint="eastAsia" w:eastAsia="方正小标宋简体"/>
          <w:lang w:val="en-US" w:eastAsia="zh-CN"/>
        </w:rPr>
      </w:pPr>
      <w:r>
        <w:rPr>
          <w:rFonts w:hint="eastAsia" w:ascii="方正小标宋简体" w:eastAsia="方正小标宋简体"/>
          <w:lang w:val="en-US" w:eastAsia="zh-CN"/>
        </w:rPr>
        <w:t xml:space="preserve">   支部名称：嘉泽初中党支部</w:t>
      </w:r>
    </w:p>
    <w:tbl>
      <w:tblPr>
        <w:tblStyle w:val="3"/>
        <w:tblW w:w="142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472"/>
        <w:gridCol w:w="631"/>
        <w:gridCol w:w="631"/>
        <w:gridCol w:w="631"/>
        <w:gridCol w:w="631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5" w:type="dxa"/>
            <w:vMerge w:val="restart"/>
            <w:tcBorders>
              <w:top w:val="single" w:color="auto" w:sz="8" w:space="0"/>
              <w:bottom w:val="single" w:color="auto" w:sz="2" w:space="0"/>
              <w:tl2br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测评项目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  <w:szCs w:val="24"/>
              </w:rPr>
              <w:t xml:space="preserve">     及评价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  <w:szCs w:val="24"/>
              </w:rPr>
              <w:t xml:space="preserve">       意见</w:t>
            </w:r>
          </w:p>
          <w:p>
            <w:pPr>
              <w:ind w:firstLine="118" w:firstLineChars="49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党 员</w:t>
            </w:r>
          </w:p>
          <w:p>
            <w:pPr>
              <w:ind w:firstLine="118" w:firstLineChars="49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94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评    价    内    容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总体评价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65" w:type="dxa"/>
            <w:vMerge w:val="continue"/>
            <w:tcBorders>
              <w:top w:val="single" w:color="auto" w:sz="2" w:space="0"/>
              <w:bottom w:val="single" w:color="auto" w:sz="2" w:space="0"/>
              <w:tl2br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政治坚定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执行纪律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道德品行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发挥作用</w:t>
            </w:r>
          </w:p>
        </w:tc>
        <w:tc>
          <w:tcPr>
            <w:tcW w:w="261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65" w:type="dxa"/>
            <w:vMerge w:val="continue"/>
            <w:tcBorders>
              <w:top w:val="single" w:color="auto" w:sz="2" w:space="0"/>
              <w:bottom w:val="single" w:color="auto" w:sz="2" w:space="0"/>
              <w:tl2br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ind w:right="-84" w:hanging="117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基本</w:t>
            </w:r>
          </w:p>
          <w:p>
            <w:pPr>
              <w:spacing w:line="240" w:lineRule="exact"/>
              <w:ind w:right="-84" w:hanging="117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朱学松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商战军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仇卫星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吴志方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周洪琪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陆忠元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盛杏妹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张苏翔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张华娟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焦荷娟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王黎明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周建芬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李玉成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熊禹东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卢博俊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吴志英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钱阿云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蒋腊明</w:t>
            </w: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Ansi="宋体"/>
          <w:bCs/>
          <w:color w:val="000000"/>
          <w:sz w:val="24"/>
          <w:szCs w:val="24"/>
        </w:rPr>
        <w:t>说明：请在相应栏中打</w:t>
      </w:r>
      <w:r>
        <w:rPr>
          <w:bCs/>
          <w:color w:val="000000"/>
          <w:sz w:val="24"/>
          <w:szCs w:val="24"/>
        </w:rPr>
        <w:t>“</w:t>
      </w:r>
      <w:r>
        <w:rPr>
          <w:rFonts w:ascii="宋体" w:hAnsi="宋体"/>
          <w:bCs/>
          <w:color w:val="000000"/>
          <w:sz w:val="24"/>
          <w:szCs w:val="24"/>
        </w:rPr>
        <w:t>√</w:t>
      </w:r>
      <w:r>
        <w:rPr>
          <w:bCs/>
          <w:color w:val="000000"/>
          <w:sz w:val="24"/>
          <w:szCs w:val="24"/>
        </w:rPr>
        <w:t>”</w:t>
      </w:r>
      <w:r>
        <w:rPr>
          <w:rFonts w:hAnsi="宋体"/>
          <w:bCs/>
          <w:color w:val="000000"/>
          <w:sz w:val="24"/>
          <w:szCs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43B8"/>
    <w:rsid w:val="039A5A7D"/>
    <w:rsid w:val="20456D59"/>
    <w:rsid w:val="271F46E9"/>
    <w:rsid w:val="798D43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2017-02-17T06:25:00Z</dcterms:created>
  <dc:creator>qwx</dc:creator>
  <cp:lastModifiedBy>qwx</cp:lastModifiedBy>
  <dcterms:modified xsi:type="dcterms:W3CDTF">2017-02-17T06:37:44Z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